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2.320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Leibungszarge Planar als Eckzarge für Mauerwerk, Variante 1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287CCC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0" w:name="BM115"/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287CCC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87CCC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Folgende Hinweise sind zu beachten: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- Die Zarge muss vollständig vermörtelt werden.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- Nicht zu empfehlen bei Sichtbeton (Stabilität).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-"T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echnische Informationen zu den Ausschreibungstexten"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Barrierefreiheit etc.)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Leibungszarge Plan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ar als Eckzarge für Mauerwerk,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Variante 1: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Tür schlägt in den Raum hinein auf (Standard),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Zarge und Türblatt sind flurseitig wandbündig,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TEud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(gefälzt einschlagendes Türbla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tt und Einfachfalz)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TEsd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(stumpf einschlagendes Türblatt und Einfachfalz)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Wandart: Mauerwerk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1-flügelig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2-flügelig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hen Korn 240 geschliffen und gebürstet):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en grundiert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1,5 mm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2,0 mm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Rohbaumaße: ___ x ___ mm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Falzmaße: ___ x ___ mm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06F7E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6D21C7">
              <w:rPr>
                <w:rStyle w:val="DefaultParagraphFont"/>
                <w:rFonts w:ascii="Courier New" w:hAnsi="Courier New" w:cs="Courier New"/>
                <w:szCs w:val="20"/>
              </w:rPr>
              <w:t>45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/ 60 mm (für VX-Band)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45 / 60 mm (für Tectu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s-Band)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___/___ mm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Putzwinkel vorne/hinten: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10 / 10 mm (Standard)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15  mm (Standard)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17  mm (Schweiz)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Türblattstärke: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65  mm (Standard)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1. Falztiefe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46,5 mm, Schließebene: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7  mm (Standard für stumpfes Türblatt)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28,5 mm, Schließebene: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gefälztes Türblatt)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___  mm, Schließebene ___ mm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2. Falztiefe (Einfachfal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z):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 w:rsid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[ ] 23 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mm, Türblattstärke: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65  mm (Standard)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___ mm, Türblattstärk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e ___ mm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Drückerhöhe: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1050 mm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F56EF7">
              <w:rPr>
                <w:rStyle w:val="DefaultParagraphFont"/>
                <w:rFonts w:ascii="Courier New" w:hAnsi="Courier New" w:cs="Courier New"/>
                <w:szCs w:val="20"/>
              </w:rPr>
              <w:t xml:space="preserve">1018 mm (Schweiz) 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850  mm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Fallen- / Riegelstanzung oder Edelstahlschließblech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wählen: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Fallen- und Riegelstanzung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(Standard):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Schließlochverstärkung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nur Fallenstanzung: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Edelstahlschließblech: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(stumpf und gefälzt)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Protect,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ein Magnetschlos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s (stumpf)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mit Fallenverstellung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(stumpf und gefälzt)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] Protect &amp; Clean (stumpf und gefälzt)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mit Fallenverstellung (stumpf)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Meterrissmarkierung: eingestanzt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0   mm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__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_ mm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Dichtung: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PVC-Hohlkammerdichtung (Standard):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überhöhte Ausführung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+ 2 mm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+ 4 mm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+ 7 mm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Flachbett-Ausführung (- 3 mm)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TPE-Hohlkammerdichtung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TPE-Lippendichtung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APTK-Lippendichtung (R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auch-, Brand-, Schallschutz)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Sonder-Bügelanker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Bandaufnahmen: 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___ Stück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DIN rechts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DIN links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BTV: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BTV10200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BTV10205 (V2A)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BTV10210 (V4A)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Anuba M10 (Schweiz)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Lappenband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,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102x76x3 mm (England)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BVX (3D):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1000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BVX11500 (mit zusätzlicher Schweißlasche)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BVX11005 (V2A)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BVX11010 (V4A)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verdeckt liegendes Band (3D):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</w:t>
            </w:r>
            <w:r w:rsidR="00B65114">
              <w:rPr>
                <w:rStyle w:val="DefaultParagraphFont"/>
                <w:rFonts w:ascii="Courier New" w:hAnsi="Courier New" w:cs="Courier New"/>
                <w:szCs w:val="20"/>
              </w:rPr>
              <w:t xml:space="preserve">TECTUS (Spiegelbreite min. 45 mm) 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456E18">
              <w:rPr>
                <w:rStyle w:val="DefaultParagraphFont"/>
                <w:rFonts w:ascii="Courier New" w:hAnsi="Courier New" w:cs="Courier New"/>
                <w:szCs w:val="20"/>
              </w:rPr>
              <w:t>Pivota®(Spiegelbreite min.</w:t>
            </w:r>
            <w:r w:rsidR="00456E18">
              <w:rPr>
                <w:rStyle w:val="DefaultParagraphFont"/>
                <w:rFonts w:ascii="Courier New" w:hAnsi="Courier New" w:cs="Courier New"/>
                <w:szCs w:val="20"/>
              </w:rPr>
              <w:t xml:space="preserve"> 45 mm) 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Weiteres Zubehör: Vorrichtung für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Bandseitensicherung</w:t>
            </w:r>
          </w:p>
          <w:p w:rsidR="00026532" w:rsidRPr="00A564CC" w:rsidP="00026532">
            <w:pPr>
              <w:pStyle w:val="Standard3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706F7E" w:rsidRPr="00DE5F22" w:rsidP="00026532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Kabelübergan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g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Magnetkontakt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M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ehrfachverriegelung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Riegelschaltkontakt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Sperreleme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nt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Türschließer: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ITS (mit integrierter Öffnungsbegrenzung)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OTS (auf Anfrage, Spiegelbreite beachten)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Türspaltsicherung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Holzblende: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Standa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rd-Auflagelasche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lange Auflagelaschen (Gewicht ab 25 kg)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Glasblende: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Glasstärke (vorgerichtet):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6   mm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 mm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Glasleisten (3-seitig umlaufend):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Alu-Glasleiste (Standard)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45 (Standard)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L 90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MBB-Stahlgla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sleiste,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(waagerechte Leisten gehen durch)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Rohrglasleiste: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einzeln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(Standard,</w:t>
            </w:r>
            <w:r w:rsidR="009C3E61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waagerechte Leisten gehen durch):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als Rahmen ve</w:t>
            </w:r>
            <w:r w:rsidR="009A39AE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t Spiegel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Transp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ortschiene zum Abknicken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(S</w:t>
            </w:r>
            <w:r w:rsidRPr="00DE5F22" w:rsidR="00A275C3">
              <w:rPr>
                <w:rStyle w:val="DefaultParagraphFont"/>
                <w:rFonts w:ascii="Courier New" w:hAnsi="Courier New" w:cs="Courier New"/>
                <w:szCs w:val="20"/>
              </w:rPr>
              <w:t>tandard bei gepulverten Zargen)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Potentialausgleich (Erdung)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qualifiziertes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al!</w:t>
            </w:r>
          </w:p>
          <w:p w:rsidR="007C1CE0" w:rsidRPr="00A564CC" w:rsidP="007C1CE0">
            <w:pPr>
              <w:pStyle w:val="Standard3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- Bei DIN-Türblättern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Rohbaumaße größer wählen.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- Bei Bestellung genaue Zeichnung beilegen!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- Bei Pulverbesc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hichtung, insbesondere bei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können Farbtonabweichungen zu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n, im gleichen Farbton lackierten Bautei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len,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edlicher Untergründe, nicht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Reklamation kann hieraus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.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- Eine Pulverbeschichtung für 1-teilige Zargen ist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(Beschädi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gungen vor Ort).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de Auswahl möglich: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[ ]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Pulverbeschichtung, RAL ___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(Standard)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[ ] DB (auf Anfrage)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NCS (auf Anfrage)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Empfehlungen:</w:t>
            </w:r>
          </w:p>
          <w:p w:rsidR="007A5791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3D727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stark freque</w:t>
            </w:r>
            <w:r w:rsidR="003D727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ntierte Zargen, </w:t>
            </w:r>
            <w:r w:rsidR="0034442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3D727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oder Kliniken stumpfe Zar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gen wählen.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- Bei stumpf einschlagenden Türblättern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und Edelstahlschließblech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verwenden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.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- Bei hohen Türgewichten oder starker Frequentierung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verwenden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.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- Türstopper einplanen oder ITS mit in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tegrierter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 xml:space="preserve">  Öffnungsbegr</w:t>
            </w: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enzung.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5F22">
              <w:rPr>
                <w:rStyle w:val="DefaultParagraphFont"/>
                <w:rFonts w:ascii="Courier New" w:hAnsi="Courier New" w:cs="Courier New"/>
                <w:szCs w:val="20"/>
              </w:rPr>
              <w:t>LEED- und DGNB-Kriterien</w:t>
            </w:r>
          </w:p>
          <w:p w:rsidR="00012378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BOS Best Of Steel verbindet Zargen-Design mit</w:t>
            </w:r>
          </w:p>
          <w:p w:rsidR="00012378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nachhaltigem Bauen. In der P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roduktdatenbank</w:t>
            </w:r>
          </w:p>
          <w:p w:rsidR="00012378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building-material-scout.com sind BOS-Stahlzargen in</w:t>
            </w:r>
          </w:p>
          <w:p w:rsidR="00012378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verschiedensten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Ausführungen zu finden, die nach</w:t>
            </w:r>
          </w:p>
          <w:p w:rsidR="00012378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LEED-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und DGNB-Kriterien bewert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et wurden.</w:t>
            </w:r>
          </w:p>
          <w:p w:rsidR="00706F7E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012378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607EE3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 über</w:t>
            </w:r>
          </w:p>
          <w:p w:rsidR="00607EE3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praktische Erfahr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ung und</w:t>
            </w:r>
          </w:p>
          <w:p w:rsidR="00607EE3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qualifiziertes Wissen verfügen, um Stahlzargen</w:t>
            </w:r>
          </w:p>
          <w:p w:rsidR="00607EE3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ntieren zu können. Nur so</w:t>
            </w:r>
          </w:p>
          <w:p w:rsidR="00607EE3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tellt werden, dass sich d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ie hohe</w:t>
            </w:r>
          </w:p>
          <w:p w:rsidR="00607EE3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 auf den späteren</w:t>
            </w:r>
          </w:p>
          <w:p w:rsidR="00607EE3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607EE3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07EE3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bzw. deren Profile</w:t>
            </w:r>
          </w:p>
          <w:p w:rsidR="00607EE3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statischen</w:t>
            </w:r>
          </w:p>
          <w:p w:rsidR="00607EE3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chen Kräfte, welche sich aus der Belastu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ng</w:t>
            </w:r>
          </w:p>
          <w:p w:rsidR="00607EE3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ments ergeben, zuverlässig und</w:t>
            </w:r>
          </w:p>
          <w:p w:rsidR="00607EE3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 nach</w:t>
            </w:r>
          </w:p>
          <w:p w:rsidR="00607EE3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den entsprechenden Normen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zu erstellen. Bei Ständer-</w:t>
            </w:r>
          </w:p>
          <w:p w:rsidR="00607EE3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607EE3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zug auf die Ausgestaltung der Wandöffnun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gen,</w:t>
            </w:r>
          </w:p>
          <w:p w:rsidR="00607EE3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k auf die maximal zulässigen</w:t>
            </w:r>
          </w:p>
          <w:p w:rsidR="00607EE3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607EE3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07EE3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architekten@BestOfSteel.d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</w:t>
            </w:r>
          </w:p>
          <w:p w:rsidR="00607EE3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Änderungen und Irrtümer vorbehalten.</w:t>
            </w:r>
          </w:p>
          <w:p w:rsidR="000F43AD" w:rsidRPr="00DE5F22" w:rsidP="00706F7E">
            <w:pPr>
              <w:pStyle w:val="Standard3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607EE3">
              <w:rPr>
                <w:rStyle w:val="DefaultParagraphFont"/>
                <w:rFonts w:ascii="Courier New" w:hAnsi="Courier New" w:cs="Courier New"/>
                <w:szCs w:val="20"/>
              </w:rPr>
              <w:t>Copyright: BOS GmbH, Emsdetten, d</w:t>
            </w:r>
            <w:r w:rsidR="00607EE3">
              <w:rPr>
                <w:rStyle w:val="DefaultParagraphFont"/>
                <w:rFonts w:ascii="Courier New" w:hAnsi="Courier New" w:cs="Courier New"/>
                <w:szCs w:val="20"/>
              </w:rPr>
              <w:t xml:space="preserve">en </w:t>
            </w:r>
            <w:r w:rsidR="003A0603">
              <w:rPr>
                <w:rStyle w:val="DefaultParagraphFont"/>
                <w:rFonts w:ascii="Courier New" w:hAnsi="Courier New" w:cs="Courier New"/>
                <w:szCs w:val="20"/>
              </w:rPr>
              <w:t>06.08</w:t>
            </w:r>
            <w:r w:rsidR="00A96726">
              <w:rPr>
                <w:rStyle w:val="DefaultParagraphFont"/>
                <w:rFonts w:ascii="Courier New" w:hAnsi="Courier New" w:cs="Courier New"/>
                <w:szCs w:val="20"/>
              </w:rPr>
              <w:t>.2021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