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150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413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5.210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150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414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Duplex</w:t>
        <w:br/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bookmarkStart w:id="4" w:name="BM415"/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 Ausschreibungstext</w:t>
            </w: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Bitte ergänzen Sie den Text entsprechend Ihren</w:t>
            </w: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Wünschen.</w:t>
            </w: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Beachten Sie bitte folgende Flyer:</w:t>
            </w: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-"Technische Informationen zu den Ausschreibungstexten"</w:t>
            </w: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-"Anforderungen zu Zargen im Objekt"</w:t>
            </w: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(Schallschutz, Brandschutz, Barrierefreiheit etc.)</w:t>
            </w: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 Hinweise:</w:t>
            </w: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-"Kompendium"</w:t>
            </w: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Alles auf der BOS Website unter dem Menü:</w:t>
            </w: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Tools &amp; Downloads.</w:t>
            </w: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2-schalige </w:t>
            </w:r>
            <w:r w:rsidR="00E4033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Duplex-Zarge als Blockprofil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für</w:t>
            </w:r>
            <w:r w:rsidR="00E4033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nahezu</w:t>
            </w: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="00E4033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Alle Wandarten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, wandumfassend</w:t>
            </w: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 folgenden technischen Daten:</w:t>
            </w: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Anzahl: ___ Stück</w:t>
            </w: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Profil, Fabrikat BOS:</w:t>
            </w: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 w:rsidR="00E4033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Duplex</w:t>
            </w: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(stumpf einschlagendes Türblatt und Einfachfalz)</w:t>
            </w:r>
          </w:p>
          <w:p w:rsidR="006D64AA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40337" w:rsidRPr="00A564CC" w:rsidP="00E40337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Wandart:</w:t>
            </w:r>
          </w:p>
          <w:p w:rsidR="00E40337" w:rsidRPr="00A564CC" w:rsidP="00E40337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Ständerwerk</w:t>
            </w:r>
          </w:p>
          <w:p w:rsidR="00E40337" w:rsidRPr="00A564CC" w:rsidP="00E40337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Mauerwerk</w:t>
              <w:br/>
            </w: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Ausführung: 2-schalig</w:t>
            </w:r>
            <w:r w:rsidR="002D691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1-flügelig</w:t>
            </w: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Material:</w:t>
            </w: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grundiert,</w:t>
            </w: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feuerverzinktes Feinblech nach DIN EN 10143</w:t>
            </w: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Pulverbeschichtung, RAL ___</w:t>
            </w: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seidenglänzend (Standard)</w:t>
            </w: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matt</w:t>
            </w: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Feinstruktur</w:t>
            </w: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DB             (auf Anfrage)</w:t>
            </w: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NCS            (auf Anfrage)</w:t>
            </w: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Blechstärke:</w:t>
            </w:r>
            <w:r w:rsidR="002D691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1,5 mm</w:t>
            </w: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Abmessungen:</w:t>
            </w:r>
          </w:p>
          <w:p w:rsidR="006D64AA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Rohbau</w:t>
            </w:r>
            <w:r w:rsidR="00C73E5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richt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maß</w:t>
            </w:r>
            <w:r w:rsidR="00C73E5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breite (RRB):</w:t>
            </w:r>
          </w:p>
          <w:p w:rsidR="00C73E5C" w:rsidRPr="00A564CC" w:rsidP="00C73E5C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bei Ständerwerk</w:t>
            </w:r>
          </w:p>
          <w:p w:rsidR="00C73E5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="001350B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RRB=FMB + 34 mm: </w:t>
            </w:r>
            <w:r w:rsidR="001350B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___ mm</w:t>
            </w:r>
          </w:p>
          <w:p w:rsidR="00C73E5C" w:rsidRPr="00A564CC" w:rsidP="00C73E5C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bei Mauerwerk</w:t>
            </w:r>
          </w:p>
          <w:p w:rsidR="00C73E5C" w:rsidP="00C73E5C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="001350B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RRB=FMB + 48 mm: </w:t>
            </w:r>
            <w:r w:rsidR="001350B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___ mm</w:t>
            </w:r>
          </w:p>
          <w:p w:rsidR="00C73E5C" w:rsidP="00C73E5C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="001350B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Rohbau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richtmaßhöhe(RRH):</w:t>
            </w:r>
            <w:r w:rsidR="001350B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A564CC" w:rsidR="001350B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___ mm</w:t>
            </w:r>
          </w:p>
          <w:p w:rsidR="00C73E5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350B7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 w:rsidR="006D64A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Falzmaß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breite (FMB):</w:t>
              <w:br/>
              <w:t>(jeweils für beide Türöffnungen)</w:t>
            </w:r>
          </w:p>
          <w:p w:rsidR="001350B7" w:rsidP="001350B7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591 mm</w:t>
            </w:r>
          </w:p>
          <w:p w:rsidR="001350B7" w:rsidP="001350B7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716 mm</w:t>
            </w:r>
          </w:p>
          <w:p w:rsidR="001350B7" w:rsidP="001350B7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841 mm</w:t>
            </w:r>
          </w:p>
          <w:p w:rsidR="001350B7" w:rsidP="001350B7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966 mm</w:t>
            </w:r>
          </w:p>
          <w:p w:rsidR="001350B7" w:rsidP="001350B7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___ mm (nur auf Anfrage)</w:t>
            </w:r>
          </w:p>
          <w:p w:rsidR="001350B7" w:rsidP="001350B7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D35AC" w:rsidP="000D35AC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 w:rsidR="001350B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Falzmaß</w:t>
            </w:r>
            <w:r w:rsidR="001350B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höhe (FMH):</w:t>
              <w:br/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1858 mm</w:t>
            </w:r>
          </w:p>
          <w:p w:rsidR="000D35AC" w:rsidP="000D35AC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1983 mm</w:t>
            </w:r>
          </w:p>
          <w:p w:rsidR="000D35AC" w:rsidP="000D35AC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2108 mm</w:t>
            </w:r>
          </w:p>
          <w:p w:rsidR="000D35AC" w:rsidP="000D35AC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2233 mm</w:t>
            </w:r>
          </w:p>
          <w:p w:rsidR="000D35AC" w:rsidP="000D35AC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___  mm (nur auf Anfrage)</w:t>
            </w:r>
          </w:p>
          <w:p w:rsidR="001350B7" w:rsidP="001350B7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350B7" w:rsidP="001350B7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="000D35A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Maulweiten MW: (Mindestmaß 100 mm)</w:t>
            </w:r>
          </w:p>
          <w:p w:rsidR="000D35AC" w:rsidP="001350B7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alle gleich:  ___ mm</w:t>
            </w:r>
          </w:p>
          <w:p w:rsidR="000D35AC" w:rsidP="001350B7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Maulweiten 1: ___ mm</w:t>
            </w:r>
            <w:r w:rsidR="0085786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Maulweite  2: ___ mm</w:t>
            </w:r>
          </w:p>
          <w:p w:rsidR="001350B7" w:rsidP="001350B7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D64AA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Gesamttiefe</w:t>
            </w:r>
            <w:r w:rsidR="0085786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 Zarge GT:</w:t>
            </w:r>
          </w:p>
          <w:p w:rsidR="00857868" w:rsidP="00857868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alle gleich:    ___ mm</w:t>
            </w:r>
          </w:p>
          <w:p w:rsidR="00857868" w:rsidP="00857868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Gesamttiefen 1: ___ mm</w:t>
              <w:br/>
              <w:t xml:space="preserve">    Gesamttiefe  2: ___ mm</w:t>
            </w:r>
          </w:p>
          <w:p w:rsidR="00EB1FE2" w:rsidP="00857868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B1FE2" w:rsidP="00857868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Spiegel vorne / hinten:</w:t>
            </w:r>
          </w:p>
          <w:p w:rsidR="00EB1FE2" w:rsidP="00857868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45 / 60 / 22 mm</w:t>
            </w:r>
          </w:p>
          <w:p w:rsidR="00EB1FE2" w:rsidP="00EB1FE2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___/ ___/ 22 mm (auf Anfrage,</w:t>
            </w:r>
          </w:p>
          <w:p w:rsidR="00EB1FE2" w:rsidP="00EB1FE2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         genaue Zeichnung beilegen)</w:t>
            </w:r>
          </w:p>
          <w:p w:rsidR="00857868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D64AA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="00071E9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Putzwinkel: 15 / 15 / 27 mm</w:t>
            </w:r>
          </w:p>
          <w:p w:rsidR="00071E9B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Falzaufschlag:</w:t>
            </w:r>
            <w:r w:rsidR="00071E9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15  mm </w:t>
            </w: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A8352D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 w:rsidR="006D64A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Falztiefe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n: für 40 mm Türblattstärke</w:t>
            </w:r>
          </w:p>
          <w:p w:rsidR="00F35C5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Drückerhöhe:</w:t>
            </w: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1050 mm</w:t>
            </w: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 w:rsidR="009877B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1018 mm (Schweiz) </w:t>
            </w: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850  mm</w:t>
            </w: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 mm</w:t>
            </w: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Edelstahlschließblech:</w:t>
            </w: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Protect,</w:t>
            </w:r>
            <w:r w:rsidR="008764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vorgerichtet für ein Magnetschloss (stumpf)</w:t>
            </w: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 w:rsidR="008764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Fallen- und Riegelstanzung (Standard)</w:t>
            </w:r>
          </w:p>
          <w:p w:rsidR="006D64AA" w:rsidP="008764FF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 w:rsidR="008764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 w:rsidR="008764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nur Fallenstanzung</w:t>
            </w:r>
          </w:p>
          <w:p w:rsidR="008764FF" w:rsidP="008764FF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8764FF" w:rsidP="008764FF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Magnet-Einsteckschloss: </w:t>
            </w:r>
          </w:p>
          <w:p w:rsidR="008764FF" w:rsidP="008764FF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bauseits (Häfele 116 oder KFV 116)</w:t>
            </w:r>
          </w:p>
          <w:p w:rsidR="008764FF" w:rsidP="008764FF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Varianten: Buntbart ohne Wechsel (Riegel: 2-tourig)</w:t>
            </w:r>
          </w:p>
          <w:p w:rsidR="008764FF" w:rsidP="008764FF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WC / Bad – Zelle      (Riegel: 1-tourig)</w:t>
            </w:r>
          </w:p>
          <w:p w:rsidR="008764FF" w:rsidP="008764FF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Profilzylinder        (Riegel: 2-tourig)</w:t>
            </w:r>
          </w:p>
          <w:p w:rsidR="008764FF" w:rsidRPr="00A564CC" w:rsidP="008764FF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Meterrissmarkierung: eingestanzt</w:t>
            </w: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Bodeneinstand:</w:t>
            </w:r>
            <w:r w:rsidR="00943F8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kein Bodeneinstand</w:t>
            </w: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Dichtung:</w:t>
            </w:r>
          </w:p>
          <w:p w:rsidR="006D64AA" w:rsidRPr="00A564CC" w:rsidP="00943F88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PVC-Hohlkammerdichtung (Standard)</w:t>
            </w: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TPE-Hohlkammerdichtung</w:t>
            </w: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TPE-Lippendichtung</w:t>
            </w: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="00943F8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APTK-Lippendichtung</w:t>
            </w: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Anker:</w:t>
            </w: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BOS-Nivellieranker</w:t>
            </w:r>
            <w:r w:rsidR="00943F8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, Flachstahlanker für Mittelstück</w:t>
            </w: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F0D92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Bandaufnahmen </w:t>
            </w:r>
          </w:p>
          <w:p w:rsidR="006D64AA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="00BF0D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(siehe Position der Bandaufnahme in der Zarge)</w:t>
            </w:r>
          </w:p>
          <w:p w:rsidR="00BF0D92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2 Stück BVX11500 (3D)</w:t>
            </w: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DIN rechts</w:t>
            </w: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DIN links</w:t>
            </w:r>
          </w:p>
          <w:p w:rsidR="006D64AA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F0D92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Bänder: bauseits (Simonswerk VX7720/100)</w:t>
            </w:r>
          </w:p>
          <w:p w:rsidR="00BF0D92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="00BF0D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onstiges / weitere Angaben:</w:t>
            </w: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Potentialausgleich (Erdung)</w:t>
            </w: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Anti Dröhn-Einlage</w:t>
            </w: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Hinweise:</w:t>
            </w: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Montage nur durch ausreichend qualifiziertes</w:t>
            </w:r>
          </w:p>
          <w:p w:rsidR="006D64AA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Fachpersonal!</w:t>
            </w:r>
          </w:p>
          <w:p w:rsidR="00176B05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Bestellung genaue Zeichnung beilegen!</w:t>
            </w:r>
          </w:p>
          <w:p w:rsidR="00911C2E" w:rsidP="00911C2E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</w:t>
            </w:r>
            <w:r w:rsidRPr="00911C2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Für die Türblatt-Montage, bzw. dem </w:t>
            </w:r>
          </w:p>
          <w:p w:rsidR="00911C2E" w:rsidP="00911C2E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911C2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nachträglichen Einstellen der Unterkonstruktion</w:t>
            </w:r>
          </w:p>
          <w:p w:rsidR="00911C2E" w:rsidP="00911C2E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911C2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ist der BOS Sond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er-Innensechskant erforderlich,</w:t>
            </w:r>
          </w:p>
          <w:p w:rsidR="00911C2E" w:rsidRPr="00911C2E" w:rsidP="00911C2E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911C2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der auf Wunsch nachgeliefert werden kann </w:t>
            </w:r>
          </w:p>
          <w:p w:rsidR="00911C2E" w:rsidRPr="00A564CC" w:rsidP="00911C2E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911C2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(1 Werkzeug pro 10 Zargen).</w:t>
            </w: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2-schaligen Zargen empfehlen wir im Bereich der</w:t>
            </w: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Bandaufnahmen eine punktuelle Verschäumung.</w:t>
            </w: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Pulverbeschichtung, insbesondere bei</w:t>
            </w: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Metalliclacken, können Farbtonabweichungen zu</w:t>
            </w: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anderen, im gleichen Farbton lackierten Bauteilen,</w:t>
            </w: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aufgrund unterschiedlicher Untergründe, nicht</w:t>
            </w: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ausgeschlossen werden. Eine Reklamation kann hieraus</w:t>
            </w: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abgeleitet werden.</w:t>
            </w: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Empfehlungen:</w:t>
            </w: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Massivwänden die Maulweite der Zarge 3-5 mm</w:t>
            </w: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größer wählen (Toleranzausgleich).</w:t>
            </w: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Eventuell auftretende Fugen zwischen Wand und Zarge</w:t>
            </w: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mit Acryl abdichten.</w:t>
            </w: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</w:t>
            </w:r>
          </w:p>
          <w:p w:rsidR="0039431B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 Best Of Steel verbindet Zargen-Design mit</w:t>
            </w:r>
          </w:p>
          <w:p w:rsidR="0039431B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nachhaltigem Bauen. In der Produktdatenbank</w:t>
            </w:r>
          </w:p>
          <w:p w:rsidR="0039431B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building-material-scout.com sind BOS-Stahlzargen in</w:t>
            </w:r>
          </w:p>
          <w:p w:rsidR="0039431B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verschiedensten Ausführungen zu finden, die nach</w:t>
            </w:r>
          </w:p>
          <w:p w:rsidR="0039431B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 bewertet wurden.</w:t>
            </w: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="0039431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</w:p>
          <w:p w:rsidR="006D64AA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mit der Montage beauftragte Person sollte über</w:t>
            </w:r>
          </w:p>
          <w:p w:rsidR="006D64AA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eine geeignete Ausbildung, praktische Erfahrung und</w:t>
            </w:r>
          </w:p>
          <w:p w:rsidR="006D64AA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 qualifiziertes Wissen verfügen, um Stahlzargen</w:t>
            </w:r>
          </w:p>
          <w:p w:rsidR="006D64AA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sach- und fachgerecht montieren zu können. Nur so</w:t>
            </w:r>
          </w:p>
          <w:p w:rsidR="006D64AA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kann sichergestellt werden, dass sich die hohe</w:t>
            </w:r>
          </w:p>
          <w:p w:rsidR="006D64AA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Qualität der Stahlzarge auch auf den späteren</w:t>
            </w:r>
          </w:p>
          <w:p w:rsidR="006D64AA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Gebrauch überträgt.</w:t>
            </w:r>
          </w:p>
          <w:p w:rsidR="006D64AA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D64AA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Massiv- und Ständerwerkswände bzw. deren Profile</w:t>
            </w:r>
          </w:p>
          <w:p w:rsidR="006D64AA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müssen so ausgebildet sein, dass sie die statischen</w:t>
            </w:r>
          </w:p>
          <w:p w:rsidR="006D64AA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und dynamischen Kräfte, welche sich aus der Belastung</w:t>
            </w:r>
          </w:p>
          <w:p w:rsidR="006D64AA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des verwendeten Türelements ergeben, zuverlässig und</w:t>
            </w:r>
          </w:p>
          <w:p w:rsidR="006D64AA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 aufnehmen können. Massivwände sind nach</w:t>
            </w:r>
          </w:p>
          <w:p w:rsidR="006D64AA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den entsprechenden Normen zu erstellen. Bei Ständer-</w:t>
            </w:r>
          </w:p>
          <w:p w:rsidR="006D64AA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werkswänden sind die Vorgaben der Systemhersteller</w:t>
            </w:r>
          </w:p>
          <w:p w:rsidR="006D64AA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 Bezug auf die Ausgestaltung der Wandöffnungen,</w:t>
            </w:r>
          </w:p>
          <w:p w:rsidR="006D64AA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besonders im Hinblick auf die maximal zulässigen</w:t>
            </w:r>
          </w:p>
          <w:p w:rsidR="006D64AA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Türblattgewichte, zu befolgen.</w:t>
            </w:r>
          </w:p>
          <w:p w:rsidR="006D64AA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D64AA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Architekten-Beratung: architekten@BestOfSteel.de</w:t>
            </w:r>
          </w:p>
          <w:p w:rsidR="006D64AA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Änderungen und Irrtümer vorbehalten.</w:t>
            </w:r>
          </w:p>
          <w:p w:rsidR="006D64AA" w:rsidRPr="00A564CC" w:rsidP="006D64AA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Copyright: BOS GmbH, Emsdetten, den </w:t>
            </w:r>
            <w:r w:rsidR="0062577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19.07.2019</w:t>
            </w:r>
            <w:r w:rsidR="0062577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</w:p>
          <w:p w:rsidR="006D64AA" w:rsidRPr="00A564CC" w:rsidP="006D64AA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Fuzeile1">
    <w:name w:val="Fußzeile_1"/>
    <w:basedOn w:val="Standard3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3">
    <w:name w:val="Standard_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4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5"/>
    <w:link w:val="FuzeileZchn3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49282B"/>
    <w:rPr>
      <w:rFonts w:ascii="Arial" w:hAnsi="Arial"/>
    </w:rPr>
  </w:style>
  <w:style w:type="paragraph" w:customStyle="1" w:styleId="Fuzeile4">
    <w:name w:val="Fußzeile_4"/>
    <w:basedOn w:val="Standard6"/>
    <w:link w:val="FuzeileZchn4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D800AA"/>
    <w:rPr>
      <w:rFonts w:ascii="Arial" w:hAnsi="Arial"/>
    </w:rPr>
  </w:style>
  <w:style w:type="paragraph" w:customStyle="1" w:styleId="Fuzeile5">
    <w:name w:val="Fußzeile_5"/>
    <w:basedOn w:val="Standard7"/>
    <w:link w:val="FuzeileZchn5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2A622E"/>
    <w:rPr>
      <w:rFonts w:ascii="Arial" w:hAnsi="Arial"/>
    </w:rPr>
  </w:style>
  <w:style w:type="paragraph" w:customStyle="1" w:styleId="Fuzeile6">
    <w:name w:val="Fußzeile_6"/>
    <w:basedOn w:val="Standard8"/>
    <w:link w:val="FuzeileZchn6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1C709B"/>
    <w:rPr>
      <w:rFonts w:ascii="Arial" w:hAnsi="Arial"/>
    </w:rPr>
  </w:style>
  <w:style w:type="paragraph" w:customStyle="1" w:styleId="Fuzeile7">
    <w:name w:val="Fußzeile_7"/>
    <w:basedOn w:val="Standard9"/>
    <w:link w:val="FuzeileZchn7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357303"/>
    <w:rPr>
      <w:rFonts w:ascii="Arial" w:hAnsi="Arial"/>
    </w:rPr>
  </w:style>
  <w:style w:type="paragraph" w:customStyle="1" w:styleId="Fuzeile8">
    <w:name w:val="Fußzeile_8"/>
    <w:basedOn w:val="Standard10"/>
    <w:link w:val="FuzeileZchn8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4F505E"/>
    <w:rPr>
      <w:rFonts w:ascii="Arial" w:hAnsi="Arial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6B580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819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